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CE2DCCA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>
        <w:rPr>
          <w:rFonts w:ascii="Garamond" w:hAnsi="Garamond"/>
          <w:sz w:val="24"/>
          <w:szCs w:val="24"/>
        </w:rPr>
        <w:t xml:space="preserve">zakázka:   </w:t>
      </w:r>
      <w:proofErr w:type="gramEnd"/>
      <w:r>
        <w:rPr>
          <w:rFonts w:ascii="Garamond" w:hAnsi="Garamond"/>
          <w:sz w:val="24"/>
          <w:szCs w:val="24"/>
        </w:rPr>
        <w:t xml:space="preserve"> 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EC4412" w:rsidRPr="00F72226">
        <w:rPr>
          <w:rFonts w:ascii="Garamond" w:hAnsi="Garamond"/>
          <w:sz w:val="24"/>
          <w:szCs w:val="24"/>
        </w:rPr>
        <w:t>0</w:t>
      </w:r>
      <w:r w:rsidR="00DD449D">
        <w:rPr>
          <w:rFonts w:ascii="Garamond" w:hAnsi="Garamond"/>
          <w:sz w:val="24"/>
          <w:szCs w:val="24"/>
        </w:rPr>
        <w:t>10</w:t>
      </w:r>
      <w:r w:rsidR="00EB6175" w:rsidRPr="00F72226">
        <w:rPr>
          <w:rFonts w:ascii="Garamond" w:hAnsi="Garamond"/>
          <w:sz w:val="24"/>
          <w:szCs w:val="24"/>
        </w:rPr>
        <w:t>-2021</w:t>
      </w:r>
    </w:p>
    <w:p w14:paraId="734915B7" w14:textId="0BC4C0F1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D449D" w:rsidRPr="003108D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https://zakazky.zcu.cz/contract_display_4719.html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26CB4D97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F72226">
        <w:rPr>
          <w:rFonts w:ascii="Garamond" w:hAnsi="Garamond" w:cs="Arial"/>
          <w:sz w:val="22"/>
          <w:szCs w:val="22"/>
        </w:rPr>
        <w:t xml:space="preserve"> </w:t>
      </w:r>
      <w:r w:rsidR="002419E3">
        <w:rPr>
          <w:rFonts w:ascii="Garamond" w:hAnsi="Garamond" w:cs="Arial"/>
          <w:b/>
          <w:sz w:val="22"/>
          <w:szCs w:val="22"/>
        </w:rPr>
        <w:t>10</w:t>
      </w:r>
      <w:bookmarkStart w:id="1" w:name="_GoBack"/>
      <w:bookmarkEnd w:id="1"/>
      <w:r w:rsidR="006C4DD5" w:rsidRPr="00E0757E">
        <w:rPr>
          <w:rFonts w:ascii="Garamond" w:hAnsi="Garamond" w:cs="Arial"/>
          <w:b/>
          <w:sz w:val="22"/>
          <w:szCs w:val="22"/>
        </w:rPr>
        <w:t>.</w:t>
      </w:r>
      <w:r w:rsidR="00E0757E" w:rsidRPr="00E0757E">
        <w:rPr>
          <w:rFonts w:ascii="Garamond" w:hAnsi="Garamond" w:cs="Arial"/>
          <w:b/>
          <w:sz w:val="22"/>
          <w:szCs w:val="22"/>
        </w:rPr>
        <w:t>0</w:t>
      </w:r>
      <w:r w:rsidR="00DD449D">
        <w:rPr>
          <w:rFonts w:ascii="Garamond" w:hAnsi="Garamond" w:cs="Arial"/>
          <w:b/>
          <w:sz w:val="22"/>
          <w:szCs w:val="22"/>
        </w:rPr>
        <w:t>8</w:t>
      </w:r>
      <w:r w:rsidR="006C4DD5" w:rsidRPr="00E0757E">
        <w:rPr>
          <w:rFonts w:ascii="Garamond" w:hAnsi="Garamond" w:cs="Arial"/>
          <w:b/>
          <w:sz w:val="22"/>
          <w:szCs w:val="22"/>
        </w:rPr>
        <w:t>.2021</w:t>
      </w:r>
      <w:r w:rsidR="003C1FD6" w:rsidRPr="00F72226">
        <w:rPr>
          <w:rFonts w:ascii="Garamond" w:hAnsi="Garamond" w:cs="Arial"/>
          <w:b/>
          <w:sz w:val="22"/>
          <w:szCs w:val="22"/>
        </w:rPr>
        <w:t xml:space="preserve"> 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09:00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0937C307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</w:t>
      </w:r>
      <w:r w:rsidR="00B951EC">
        <w:rPr>
          <w:rFonts w:ascii="Garamond" w:hAnsi="Garamond" w:cs="Arial"/>
        </w:rPr>
        <w:t xml:space="preserve"> a</w:t>
      </w:r>
      <w:r w:rsidR="001975E8">
        <w:rPr>
          <w:rFonts w:ascii="Garamond" w:hAnsi="Garamond" w:cs="Arial"/>
        </w:rPr>
        <w:t> </w:t>
      </w:r>
      <w:r w:rsidR="00B951EC">
        <w:rPr>
          <w:rFonts w:ascii="Garamond" w:hAnsi="Garamond" w:cs="Arial"/>
        </w:rPr>
        <w:t>přílohu č. 2 této Výzvy tabulka pro výpočet nákladů životního cyklu</w:t>
      </w:r>
      <w:r w:rsidR="00BD3729" w:rsidRPr="00502CCA">
        <w:rPr>
          <w:rFonts w:ascii="Garamond" w:hAnsi="Garamond" w:cs="Arial"/>
        </w:rPr>
        <w:t>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</w:t>
      </w:r>
      <w:r w:rsidRPr="00E23443">
        <w:rPr>
          <w:rFonts w:ascii="Garamond" w:eastAsia="Times New Roman" w:hAnsi="Garamond" w:cs="Arial"/>
        </w:rPr>
        <w:lastRenderedPageBreak/>
        <w:t>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66B60FE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 a přílohu č. 2 této Výzvy</w:t>
      </w:r>
      <w:r w:rsidR="00B951EC">
        <w:rPr>
          <w:rFonts w:ascii="Garamond" w:hAnsi="Garamond" w:cs="Arial"/>
          <w:sz w:val="22"/>
          <w:szCs w:val="22"/>
        </w:rPr>
        <w:t>, kterou je tabulka pro výpočet nákladů životního cyklu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E5D62A7" w:rsidR="005A575C" w:rsidRPr="0092241D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a </w:t>
      </w:r>
      <w:r w:rsidR="00121FD1" w:rsidRPr="00823309">
        <w:rPr>
          <w:rFonts w:ascii="Garamond" w:hAnsi="Garamond" w:cs="Arial"/>
          <w:b/>
          <w:sz w:val="22"/>
          <w:szCs w:val="22"/>
        </w:rPr>
        <w:t>vyplněnou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přílohou č. 2 </w:t>
      </w:r>
      <w:r w:rsidR="00DC79DA">
        <w:rPr>
          <w:rFonts w:ascii="Garamond" w:hAnsi="Garamond" w:cs="Arial"/>
          <w:b/>
          <w:sz w:val="22"/>
          <w:szCs w:val="22"/>
        </w:rPr>
        <w:t xml:space="preserve">této </w:t>
      </w:r>
      <w:r w:rsidR="00121FD1" w:rsidRPr="0092241D">
        <w:rPr>
          <w:rFonts w:ascii="Garamond" w:hAnsi="Garamond" w:cs="Arial"/>
          <w:b/>
          <w:sz w:val="22"/>
          <w:szCs w:val="22"/>
        </w:rPr>
        <w:t>Výzvy – Náklady životního cyklu</w:t>
      </w:r>
      <w:r w:rsidRPr="0092241D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799E7300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Předmětu plnění a náklad</w:t>
      </w:r>
      <w:r w:rsidR="00211A3C" w:rsidRPr="00EF3ED9">
        <w:rPr>
          <w:rFonts w:ascii="Garamond" w:hAnsi="Garamond" w:cs="Arial"/>
          <w:sz w:val="22"/>
          <w:szCs w:val="22"/>
        </w:rPr>
        <w:t>ů</w:t>
      </w:r>
      <w:r w:rsidRPr="00EF3ED9">
        <w:rPr>
          <w:rFonts w:ascii="Garamond" w:hAnsi="Garamond" w:cs="Arial"/>
          <w:sz w:val="22"/>
          <w:szCs w:val="22"/>
        </w:rPr>
        <w:t xml:space="preserve"> související</w:t>
      </w:r>
      <w:r w:rsidR="00211A3C" w:rsidRPr="00EF3ED9">
        <w:rPr>
          <w:rFonts w:ascii="Garamond" w:hAnsi="Garamond" w:cs="Arial"/>
          <w:sz w:val="22"/>
          <w:szCs w:val="22"/>
        </w:rPr>
        <w:t>ch</w:t>
      </w:r>
      <w:r w:rsidRPr="00EF3ED9">
        <w:rPr>
          <w:rFonts w:ascii="Garamond" w:hAnsi="Garamond" w:cs="Arial"/>
          <w:sz w:val="22"/>
          <w:szCs w:val="22"/>
        </w:rPr>
        <w:t xml:space="preserve"> s jeho užíváním po dobu 5 let</w:t>
      </w:r>
      <w:r w:rsidR="00211A3C" w:rsidRPr="00EF3ED9">
        <w:rPr>
          <w:rFonts w:ascii="Garamond" w:hAnsi="Garamond" w:cs="Arial"/>
          <w:sz w:val="22"/>
          <w:szCs w:val="22"/>
        </w:rPr>
        <w:t xml:space="preserve">. </w:t>
      </w:r>
      <w:r w:rsidR="000F27AB" w:rsidRPr="00EF3ED9">
        <w:rPr>
          <w:rFonts w:ascii="Garamond" w:hAnsi="Garamond" w:cs="Arial"/>
          <w:sz w:val="22"/>
          <w:szCs w:val="22"/>
        </w:rPr>
        <w:t xml:space="preserve">Náklady budou </w:t>
      </w:r>
      <w:r w:rsidR="00843A1D" w:rsidRPr="00EF3ED9">
        <w:rPr>
          <w:rFonts w:ascii="Garamond" w:hAnsi="Garamond" w:cs="Arial"/>
          <w:sz w:val="22"/>
          <w:szCs w:val="22"/>
        </w:rPr>
        <w:t>stanoveny podle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>na daném 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6A9D7F3C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>Náklady životního cyklu dodavatel vyčíslí v Příloze č. 2 této Výzvy,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 provozu nabízeného Předmětu plnění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do Přílohy č. 2 této Výzvy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v Příloze č. 2 této Výzvy do položky označené „jiné“ u konkrétního Předmětu plnění.</w:t>
      </w:r>
    </w:p>
    <w:p w14:paraId="398F305E" w14:textId="0F42065E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lastRenderedPageBreak/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6078BA" w:rsidRPr="0092241D">
        <w:rPr>
          <w:rFonts w:ascii="Garamond" w:hAnsi="Garamond" w:cs="Arial"/>
          <w:sz w:val="22"/>
          <w:szCs w:val="22"/>
        </w:rPr>
        <w:t xml:space="preserve">v Příloze č. 2 </w:t>
      </w:r>
      <w:r w:rsidR="00FC1BBD">
        <w:rPr>
          <w:rFonts w:ascii="Garamond" w:hAnsi="Garamond" w:cs="Arial"/>
          <w:sz w:val="22"/>
          <w:szCs w:val="22"/>
        </w:rPr>
        <w:t xml:space="preserve">této </w:t>
      </w:r>
      <w:r w:rsidR="006078BA" w:rsidRPr="0092241D">
        <w:rPr>
          <w:rFonts w:ascii="Garamond" w:hAnsi="Garamond" w:cs="Arial"/>
          <w:sz w:val="22"/>
          <w:szCs w:val="22"/>
        </w:rPr>
        <w:t>Výzvy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</w:t>
      </w:r>
      <w:proofErr w:type="spellStart"/>
      <w:r w:rsidR="009A7605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9A7605" w:rsidRPr="009701B1">
        <w:rPr>
          <w:rFonts w:ascii="Garamond" w:hAnsi="Garamond" w:cs="Arial"/>
          <w:sz w:val="22"/>
          <w:szCs w:val="22"/>
        </w:rPr>
        <w:t xml:space="preserve">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</w:t>
      </w:r>
      <w:r w:rsidR="00555172">
        <w:rPr>
          <w:rFonts w:ascii="Garamond" w:hAnsi="Garamond" w:cs="Arial"/>
          <w:sz w:val="22"/>
          <w:szCs w:val="22"/>
        </w:rPr>
        <w:t xml:space="preserve">konce lhůty pro </w:t>
      </w:r>
      <w:r w:rsidR="008B62DD">
        <w:rPr>
          <w:rFonts w:ascii="Garamond" w:hAnsi="Garamond" w:cs="Arial"/>
          <w:sz w:val="22"/>
          <w:szCs w:val="22"/>
        </w:rPr>
        <w:t>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</w:p>
    <w:p w14:paraId="05DFA6A7" w14:textId="4862F99C" w:rsidR="00185D65" w:rsidRPr="00BE25AE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>, může 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3DCDC548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C934D2">
        <w:rPr>
          <w:rFonts w:ascii="Garamond" w:hAnsi="Garamond" w:cs="Arial"/>
          <w:sz w:val="22"/>
          <w:szCs w:val="22"/>
        </w:rPr>
        <w:t xml:space="preserve">6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4CD26317" w:rsidR="00DB45AA" w:rsidRPr="00923F89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6DBDCDD8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 xml:space="preserve">. č. 319/2019 Sb., o energetickém štítkování a </w:t>
      </w:r>
      <w:proofErr w:type="spellStart"/>
      <w:r w:rsidRPr="00855E67">
        <w:rPr>
          <w:rFonts w:ascii="Garamond" w:hAnsi="Garamond"/>
          <w:sz w:val="22"/>
          <w:szCs w:val="22"/>
        </w:rPr>
        <w:t>ekodesignu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 xml:space="preserve">ČR, resp. v EU a není tak namístě požadavky na </w:t>
      </w:r>
      <w:proofErr w:type="spellStart"/>
      <w:r w:rsidRPr="00FB519A">
        <w:rPr>
          <w:rFonts w:ascii="Garamond" w:hAnsi="Garamond"/>
          <w:sz w:val="22"/>
          <w:szCs w:val="22"/>
        </w:rPr>
        <w:t>ekodesign</w:t>
      </w:r>
      <w:proofErr w:type="spellEnd"/>
      <w:r w:rsidRPr="00FB519A">
        <w:rPr>
          <w:rFonts w:ascii="Garamond" w:hAnsi="Garamond"/>
          <w:sz w:val="22"/>
          <w:szCs w:val="22"/>
        </w:rPr>
        <w:t xml:space="preserve">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5E342624" w14:textId="3E84A0BA" w:rsidR="002E620E" w:rsidRPr="00EB6175" w:rsidRDefault="002E620E" w:rsidP="002E620E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2 – </w:t>
      </w:r>
      <w:r w:rsidRPr="004B786D">
        <w:rPr>
          <w:rFonts w:ascii="Garamond" w:hAnsi="Garamond" w:cs="Arial"/>
          <w:sz w:val="22"/>
          <w:szCs w:val="22"/>
        </w:rPr>
        <w:t>Náklady životního cyklu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37441B" w14:textId="77777777" w:rsidR="005F2966" w:rsidRDefault="005F2966" w:rsidP="00795AAC">
      <w:r>
        <w:separator/>
      </w:r>
    </w:p>
  </w:endnote>
  <w:endnote w:type="continuationSeparator" w:id="0">
    <w:p w14:paraId="0A6075A7" w14:textId="77777777" w:rsidR="005F2966" w:rsidRDefault="005F296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66C0AC3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416E1">
      <w:rPr>
        <w:rFonts w:ascii="Garamond" w:eastAsia="Arial" w:hAnsi="Garamond" w:cs="Arial"/>
        <w:noProof/>
        <w:sz w:val="16"/>
        <w:szCs w:val="16"/>
      </w:rPr>
      <w:t>2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416E1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7071FE" w14:textId="77777777" w:rsidR="005F2966" w:rsidRDefault="005F2966" w:rsidP="00795AAC">
      <w:r>
        <w:separator/>
      </w:r>
    </w:p>
  </w:footnote>
  <w:footnote w:type="continuationSeparator" w:id="0">
    <w:p w14:paraId="4CF3B15D" w14:textId="77777777" w:rsidR="005F2966" w:rsidRDefault="005F296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0196"/>
    <w:rsid w:val="00014F34"/>
    <w:rsid w:val="0001621D"/>
    <w:rsid w:val="00024356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875B0"/>
    <w:rsid w:val="000909A0"/>
    <w:rsid w:val="00095C05"/>
    <w:rsid w:val="00095E03"/>
    <w:rsid w:val="000A0FCB"/>
    <w:rsid w:val="000A4564"/>
    <w:rsid w:val="000A5773"/>
    <w:rsid w:val="000A5E08"/>
    <w:rsid w:val="000A6B75"/>
    <w:rsid w:val="000B5522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6DDB"/>
    <w:rsid w:val="001F7CD5"/>
    <w:rsid w:val="002012BB"/>
    <w:rsid w:val="00203431"/>
    <w:rsid w:val="00203B39"/>
    <w:rsid w:val="00211A3C"/>
    <w:rsid w:val="00217849"/>
    <w:rsid w:val="00217B16"/>
    <w:rsid w:val="00223F91"/>
    <w:rsid w:val="0022713A"/>
    <w:rsid w:val="00230A5B"/>
    <w:rsid w:val="00240E02"/>
    <w:rsid w:val="002419E3"/>
    <w:rsid w:val="00243341"/>
    <w:rsid w:val="002453DE"/>
    <w:rsid w:val="00245425"/>
    <w:rsid w:val="002504B1"/>
    <w:rsid w:val="002514B5"/>
    <w:rsid w:val="00252FF6"/>
    <w:rsid w:val="0025409E"/>
    <w:rsid w:val="00256E97"/>
    <w:rsid w:val="00257386"/>
    <w:rsid w:val="00270B61"/>
    <w:rsid w:val="00272068"/>
    <w:rsid w:val="002725FC"/>
    <w:rsid w:val="00274498"/>
    <w:rsid w:val="00281D4A"/>
    <w:rsid w:val="002865E4"/>
    <w:rsid w:val="00291C4B"/>
    <w:rsid w:val="00295C60"/>
    <w:rsid w:val="002A219A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419F"/>
    <w:rsid w:val="002F633D"/>
    <w:rsid w:val="00301F48"/>
    <w:rsid w:val="00305BB0"/>
    <w:rsid w:val="003063D6"/>
    <w:rsid w:val="0031024E"/>
    <w:rsid w:val="00311988"/>
    <w:rsid w:val="003160AA"/>
    <w:rsid w:val="003166D1"/>
    <w:rsid w:val="003171FC"/>
    <w:rsid w:val="00321881"/>
    <w:rsid w:val="003222D9"/>
    <w:rsid w:val="0032400A"/>
    <w:rsid w:val="00324905"/>
    <w:rsid w:val="00331F6E"/>
    <w:rsid w:val="003419D2"/>
    <w:rsid w:val="00342F71"/>
    <w:rsid w:val="00343328"/>
    <w:rsid w:val="003504A0"/>
    <w:rsid w:val="0035416B"/>
    <w:rsid w:val="00356341"/>
    <w:rsid w:val="00357688"/>
    <w:rsid w:val="0036735F"/>
    <w:rsid w:val="00374B68"/>
    <w:rsid w:val="00380881"/>
    <w:rsid w:val="00387043"/>
    <w:rsid w:val="00396BED"/>
    <w:rsid w:val="003A2A0C"/>
    <w:rsid w:val="003A4BA0"/>
    <w:rsid w:val="003B06D8"/>
    <w:rsid w:val="003B2A6D"/>
    <w:rsid w:val="003B36F7"/>
    <w:rsid w:val="003B4D43"/>
    <w:rsid w:val="003C1FD6"/>
    <w:rsid w:val="003D116A"/>
    <w:rsid w:val="003D43B7"/>
    <w:rsid w:val="003D4537"/>
    <w:rsid w:val="003D52BD"/>
    <w:rsid w:val="003E3643"/>
    <w:rsid w:val="003E567A"/>
    <w:rsid w:val="003F580F"/>
    <w:rsid w:val="003F767D"/>
    <w:rsid w:val="003F7BCD"/>
    <w:rsid w:val="004026E8"/>
    <w:rsid w:val="00405EC8"/>
    <w:rsid w:val="00406F62"/>
    <w:rsid w:val="00412ACE"/>
    <w:rsid w:val="00425FD2"/>
    <w:rsid w:val="004350DA"/>
    <w:rsid w:val="004376D6"/>
    <w:rsid w:val="004400E1"/>
    <w:rsid w:val="004445D4"/>
    <w:rsid w:val="00450C4A"/>
    <w:rsid w:val="004575D2"/>
    <w:rsid w:val="004576B0"/>
    <w:rsid w:val="00475615"/>
    <w:rsid w:val="00476A95"/>
    <w:rsid w:val="0048090C"/>
    <w:rsid w:val="00481F8F"/>
    <w:rsid w:val="00485D97"/>
    <w:rsid w:val="00486215"/>
    <w:rsid w:val="004875A5"/>
    <w:rsid w:val="00487ABB"/>
    <w:rsid w:val="00490549"/>
    <w:rsid w:val="00495F5C"/>
    <w:rsid w:val="00497D38"/>
    <w:rsid w:val="004B06F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2A18"/>
    <w:rsid w:val="00555172"/>
    <w:rsid w:val="00555BB8"/>
    <w:rsid w:val="00565AB9"/>
    <w:rsid w:val="00567F15"/>
    <w:rsid w:val="00571557"/>
    <w:rsid w:val="00587F7D"/>
    <w:rsid w:val="0059057F"/>
    <w:rsid w:val="00592FF9"/>
    <w:rsid w:val="005976AB"/>
    <w:rsid w:val="005A1F74"/>
    <w:rsid w:val="005A575C"/>
    <w:rsid w:val="005A6687"/>
    <w:rsid w:val="005B2347"/>
    <w:rsid w:val="005C01F9"/>
    <w:rsid w:val="005D5B8C"/>
    <w:rsid w:val="005D6CEE"/>
    <w:rsid w:val="005E1AA8"/>
    <w:rsid w:val="005E3B75"/>
    <w:rsid w:val="005E599C"/>
    <w:rsid w:val="005F066A"/>
    <w:rsid w:val="005F2966"/>
    <w:rsid w:val="005F32B6"/>
    <w:rsid w:val="006001E1"/>
    <w:rsid w:val="006078BA"/>
    <w:rsid w:val="006135F9"/>
    <w:rsid w:val="00617021"/>
    <w:rsid w:val="0063063D"/>
    <w:rsid w:val="0063637A"/>
    <w:rsid w:val="006374D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7048"/>
    <w:rsid w:val="00681A1B"/>
    <w:rsid w:val="006850A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D0C83"/>
    <w:rsid w:val="006D14F5"/>
    <w:rsid w:val="006D38B1"/>
    <w:rsid w:val="006D427F"/>
    <w:rsid w:val="006D551B"/>
    <w:rsid w:val="006D6F86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7EB6"/>
    <w:rsid w:val="00757F96"/>
    <w:rsid w:val="00763198"/>
    <w:rsid w:val="0076326F"/>
    <w:rsid w:val="00763856"/>
    <w:rsid w:val="00763935"/>
    <w:rsid w:val="00767A19"/>
    <w:rsid w:val="00780026"/>
    <w:rsid w:val="007919B3"/>
    <w:rsid w:val="00792068"/>
    <w:rsid w:val="00795AA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7007"/>
    <w:rsid w:val="00817096"/>
    <w:rsid w:val="00817CB3"/>
    <w:rsid w:val="00821DD0"/>
    <w:rsid w:val="00822D46"/>
    <w:rsid w:val="00823309"/>
    <w:rsid w:val="008252D0"/>
    <w:rsid w:val="0082680D"/>
    <w:rsid w:val="0083307C"/>
    <w:rsid w:val="008416E1"/>
    <w:rsid w:val="00841F0D"/>
    <w:rsid w:val="00843A1D"/>
    <w:rsid w:val="00854424"/>
    <w:rsid w:val="00854B10"/>
    <w:rsid w:val="00855B92"/>
    <w:rsid w:val="00855E67"/>
    <w:rsid w:val="00857883"/>
    <w:rsid w:val="00867441"/>
    <w:rsid w:val="00867FAF"/>
    <w:rsid w:val="008712B7"/>
    <w:rsid w:val="00871814"/>
    <w:rsid w:val="008765A4"/>
    <w:rsid w:val="0088554A"/>
    <w:rsid w:val="008874E2"/>
    <w:rsid w:val="00893EAD"/>
    <w:rsid w:val="00895F43"/>
    <w:rsid w:val="008A08E3"/>
    <w:rsid w:val="008A20E5"/>
    <w:rsid w:val="008A6DE7"/>
    <w:rsid w:val="008A6E01"/>
    <w:rsid w:val="008B025D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F24EC"/>
    <w:rsid w:val="008F3D91"/>
    <w:rsid w:val="00906306"/>
    <w:rsid w:val="00907849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5931"/>
    <w:rsid w:val="00A26943"/>
    <w:rsid w:val="00A3044E"/>
    <w:rsid w:val="00A30E5C"/>
    <w:rsid w:val="00A3112E"/>
    <w:rsid w:val="00A436C9"/>
    <w:rsid w:val="00A467E8"/>
    <w:rsid w:val="00A51190"/>
    <w:rsid w:val="00A60E80"/>
    <w:rsid w:val="00A6168F"/>
    <w:rsid w:val="00A6419C"/>
    <w:rsid w:val="00A66D1E"/>
    <w:rsid w:val="00A67B87"/>
    <w:rsid w:val="00A7196F"/>
    <w:rsid w:val="00A77624"/>
    <w:rsid w:val="00A81CAB"/>
    <w:rsid w:val="00A82F84"/>
    <w:rsid w:val="00A8765D"/>
    <w:rsid w:val="00A90797"/>
    <w:rsid w:val="00AA3B62"/>
    <w:rsid w:val="00AA7E60"/>
    <w:rsid w:val="00AB389D"/>
    <w:rsid w:val="00AB61F5"/>
    <w:rsid w:val="00AC0F19"/>
    <w:rsid w:val="00AC487C"/>
    <w:rsid w:val="00AC5408"/>
    <w:rsid w:val="00AC56B9"/>
    <w:rsid w:val="00AD0A97"/>
    <w:rsid w:val="00AD69FB"/>
    <w:rsid w:val="00AE431B"/>
    <w:rsid w:val="00AE5B0B"/>
    <w:rsid w:val="00AE67B7"/>
    <w:rsid w:val="00AE6DAB"/>
    <w:rsid w:val="00AF315D"/>
    <w:rsid w:val="00AF396E"/>
    <w:rsid w:val="00B00647"/>
    <w:rsid w:val="00B02193"/>
    <w:rsid w:val="00B12B58"/>
    <w:rsid w:val="00B25E4B"/>
    <w:rsid w:val="00B31681"/>
    <w:rsid w:val="00B35FCD"/>
    <w:rsid w:val="00B4258F"/>
    <w:rsid w:val="00B42C1B"/>
    <w:rsid w:val="00B42FD5"/>
    <w:rsid w:val="00B45F57"/>
    <w:rsid w:val="00B47B96"/>
    <w:rsid w:val="00B507B9"/>
    <w:rsid w:val="00B75A72"/>
    <w:rsid w:val="00B8157D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529A3"/>
    <w:rsid w:val="00C633E2"/>
    <w:rsid w:val="00C667B7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60D0"/>
    <w:rsid w:val="00CB7D25"/>
    <w:rsid w:val="00CC2565"/>
    <w:rsid w:val="00CC4595"/>
    <w:rsid w:val="00CC5395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452F8"/>
    <w:rsid w:val="00D47794"/>
    <w:rsid w:val="00D53686"/>
    <w:rsid w:val="00D555A3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9CE"/>
    <w:rsid w:val="00D860AA"/>
    <w:rsid w:val="00D91C48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DAA"/>
    <w:rsid w:val="00E274DC"/>
    <w:rsid w:val="00E279CB"/>
    <w:rsid w:val="00E3430F"/>
    <w:rsid w:val="00E34CA7"/>
    <w:rsid w:val="00E34EBD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4ACA"/>
    <w:rsid w:val="00EB6175"/>
    <w:rsid w:val="00EB7A9F"/>
    <w:rsid w:val="00EC3FE3"/>
    <w:rsid w:val="00EC4412"/>
    <w:rsid w:val="00EC4F3F"/>
    <w:rsid w:val="00EC59C9"/>
    <w:rsid w:val="00ED45BD"/>
    <w:rsid w:val="00EE0150"/>
    <w:rsid w:val="00EE44DF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688D"/>
    <w:rsid w:val="00F87979"/>
    <w:rsid w:val="00F90A60"/>
    <w:rsid w:val="00F94593"/>
    <w:rsid w:val="00F96CEE"/>
    <w:rsid w:val="00F976E9"/>
    <w:rsid w:val="00FA0BCC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19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zOmVJotCtRUU5cupYBk4EeZ9GiK0IUYH+8OBxZ+Vp2U=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qPbpcHkug8nwYk/PVea+ov6By208FmU+Mw0Y/AaKetg=</DigestValue>
    </Reference>
  </SignedInfo>
  <SignatureValue>TjLf6LD3+18FK2AUKZZpmA9YnBTXSvhZA45Hbe7dEWNNBQV/fe2iNH2KGOLVDFIRARjb/kDSb3+L
69cOP7ZN0/Bh/uKr7XyHcs2f8TpTdN2BzmmfWj3A7LosB+CjhPse8NjoEqliOPHfzM0I0tcHAp2T
Y3l7fmhWM1WRX/t09T3TaZQXcuEy1MhD5Jkl3mKrQl6heXGZn4iKMNZ7y0grtegz6ckqxA5+IPEP
UYmZZ6lVlMy6jAYu4ZQK/U6TT2FPbjfihWgHX6HJEe4SLPgYVXn/gL/Ga3bQuXQj/ogyx8Nv4hSq
SIBTy9RoXyq4CJNEHCx1fqCYqUshoh8f1A3ecg==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MRT6mU9qBkA4SgcbV7RP39heydIw3WHHzaRn6bOHui0=</DigestValue>
      </Reference>
      <Reference URI="/word/document.xml?ContentType=application/vnd.openxmlformats-officedocument.wordprocessingml.document.main+xml">
        <DigestMethod Algorithm="http://www.w3.org/2001/04/xmlenc#sha256"/>
        <DigestValue>c7DWg8auXGqLO7n59uJBfN36N74r3kVyemzDs1UfbWM=</DigestValue>
      </Reference>
      <Reference URI="/word/endnotes.xml?ContentType=application/vnd.openxmlformats-officedocument.wordprocessingml.endnotes+xml">
        <DigestMethod Algorithm="http://www.w3.org/2001/04/xmlenc#sha256"/>
        <DigestValue>/hAff2i/NSNqNLRhaZO5i5mEcMQuOzPJZQoDWfbsCLE=</DigestValue>
      </Reference>
      <Reference URI="/word/fontTable.xml?ContentType=application/vnd.openxmlformats-officedocument.wordprocessingml.fontTable+xml">
        <DigestMethod Algorithm="http://www.w3.org/2001/04/xmlenc#sha256"/>
        <DigestValue>UnMjguX3KGLJwmVr/1YMuBzAU6F8rniFpX2mGv9Dm9A=</DigestValue>
      </Reference>
      <Reference URI="/word/footer1.xml?ContentType=application/vnd.openxmlformats-officedocument.wordprocessingml.footer+xml">
        <DigestMethod Algorithm="http://www.w3.org/2001/04/xmlenc#sha256"/>
        <DigestValue>hGEcdjVJZiui91F0KsIiTtXgvtpPXhqsY8ESphgzOGY=</DigestValue>
      </Reference>
      <Reference URI="/word/footnotes.xml?ContentType=application/vnd.openxmlformats-officedocument.wordprocessingml.footnotes+xml">
        <DigestMethod Algorithm="http://www.w3.org/2001/04/xmlenc#sha256"/>
        <DigestValue>Ai6S60C88D51iA5wCk6mmLDV8WnzLLVCFHBqNPvVvoc=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5qCy1wBZNENTFFcP0Yda2zJuy1RTwxq0cj4Rc5Hetzk=</DigestValue>
      </Reference>
      <Reference URI="/word/styles.xml?ContentType=application/vnd.openxmlformats-officedocument.wordprocessingml.styles+xml">
        <DigestMethod Algorithm="http://www.w3.org/2001/04/xmlenc#sha256"/>
        <DigestValue>pCaczDKE8ypSBp76WDi/jl5dR9frX4OpMtwV6j/B0VY=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2021-07-29T10:52:11Z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2021-07-29T10:52:11Z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99A329-2FA0-4757-829A-8D0B24110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2663</Words>
  <Characters>15712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</cp:revision>
  <cp:lastPrinted>2018-08-08T13:48:00Z</cp:lastPrinted>
  <dcterms:created xsi:type="dcterms:W3CDTF">2021-03-19T09:53:00Z</dcterms:created>
  <dcterms:modified xsi:type="dcterms:W3CDTF">2021-07-29T10:52:00Z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